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3ABC86F2" w:rsidR="00012532" w:rsidRDefault="00B53434" w:rsidP="00E940AB">
      <w:pPr>
        <w:jc w:val="center"/>
        <w:rPr>
          <w:b/>
          <w:bCs/>
          <w:sz w:val="32"/>
          <w:szCs w:val="32"/>
        </w:rPr>
      </w:pPr>
      <w:r>
        <w:rPr>
          <w:b/>
          <w:bCs/>
          <w:sz w:val="32"/>
          <w:szCs w:val="32"/>
        </w:rPr>
        <w:t>Child Protection Policy</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6CDFCAF5" w:rsidR="00121830" w:rsidRDefault="00AF0C3A"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4FD4AB" w14:textId="77777777" w:rsidR="00001BB3" w:rsidRDefault="00001BB3" w:rsidP="00001BB3">
      <w:pPr>
        <w:rPr>
          <w:b/>
          <w:bCs/>
          <w:sz w:val="28"/>
          <w:szCs w:val="28"/>
        </w:rPr>
      </w:pPr>
    </w:p>
    <w:p w14:paraId="7A757AE9" w14:textId="012E67C6" w:rsidR="00001BB3" w:rsidRPr="00001BB3" w:rsidRDefault="00001BB3" w:rsidP="00001BB3">
      <w:pPr>
        <w:rPr>
          <w:b/>
          <w:bCs/>
          <w:sz w:val="28"/>
          <w:szCs w:val="28"/>
        </w:rPr>
      </w:pPr>
      <w:r w:rsidRPr="00001BB3">
        <w:rPr>
          <w:b/>
          <w:bCs/>
          <w:sz w:val="28"/>
          <w:szCs w:val="28"/>
        </w:rPr>
        <w:t>Policy Statement</w:t>
      </w:r>
    </w:p>
    <w:p w14:paraId="07F9458B" w14:textId="77777777" w:rsidR="00001BB3" w:rsidRPr="00001BB3" w:rsidRDefault="00001BB3" w:rsidP="00001BB3">
      <w:pPr>
        <w:rPr>
          <w:sz w:val="28"/>
          <w:szCs w:val="28"/>
        </w:rPr>
      </w:pPr>
      <w:r w:rsidRPr="00001BB3">
        <w:rPr>
          <w:sz w:val="28"/>
          <w:szCs w:val="28"/>
        </w:rPr>
        <w:t>Durley House Nursery and Learning is committed to safeguarding and promoting the welfare of all children in our care. We recognise that children have the right to grow up in an environment where they are safe, supported, and respected. Safeguarding and child protection are the responsibility of every member of staff, volunteer, and visitor to our setting.</w:t>
      </w:r>
    </w:p>
    <w:p w14:paraId="00ED9395" w14:textId="77777777" w:rsidR="00001BB3" w:rsidRPr="00001BB3" w:rsidRDefault="00001BB3" w:rsidP="00001BB3">
      <w:pPr>
        <w:rPr>
          <w:sz w:val="28"/>
          <w:szCs w:val="28"/>
        </w:rPr>
      </w:pPr>
      <w:r w:rsidRPr="00001BB3">
        <w:rPr>
          <w:sz w:val="28"/>
          <w:szCs w:val="28"/>
        </w:rPr>
        <w:t>We will ensure that:</w:t>
      </w:r>
    </w:p>
    <w:p w14:paraId="35436371" w14:textId="77777777" w:rsidR="00001BB3" w:rsidRPr="00001BB3" w:rsidRDefault="00001BB3" w:rsidP="00001BB3">
      <w:pPr>
        <w:numPr>
          <w:ilvl w:val="0"/>
          <w:numId w:val="7"/>
        </w:numPr>
        <w:rPr>
          <w:sz w:val="28"/>
          <w:szCs w:val="28"/>
        </w:rPr>
      </w:pPr>
      <w:r w:rsidRPr="00001BB3">
        <w:rPr>
          <w:sz w:val="28"/>
          <w:szCs w:val="28"/>
        </w:rPr>
        <w:t>The welfare of the child is paramount (Children Act 1989).</w:t>
      </w:r>
    </w:p>
    <w:p w14:paraId="754AB540" w14:textId="77777777" w:rsidR="00001BB3" w:rsidRPr="00001BB3" w:rsidRDefault="00001BB3" w:rsidP="00001BB3">
      <w:pPr>
        <w:numPr>
          <w:ilvl w:val="0"/>
          <w:numId w:val="7"/>
        </w:numPr>
        <w:rPr>
          <w:sz w:val="28"/>
          <w:szCs w:val="28"/>
        </w:rPr>
      </w:pPr>
      <w:r w:rsidRPr="00001BB3">
        <w:rPr>
          <w:sz w:val="28"/>
          <w:szCs w:val="28"/>
        </w:rPr>
        <w:t>All children, regardless of age, disability, gender, race, religion, belief, or sexual orientation, have equal rights to protection from harm.</w:t>
      </w:r>
    </w:p>
    <w:p w14:paraId="4E183D5D" w14:textId="77777777" w:rsidR="00001BB3" w:rsidRPr="00001BB3" w:rsidRDefault="00001BB3" w:rsidP="00001BB3">
      <w:pPr>
        <w:numPr>
          <w:ilvl w:val="0"/>
          <w:numId w:val="7"/>
        </w:numPr>
        <w:rPr>
          <w:sz w:val="28"/>
          <w:szCs w:val="28"/>
        </w:rPr>
      </w:pPr>
      <w:r w:rsidRPr="00001BB3">
        <w:rPr>
          <w:sz w:val="28"/>
          <w:szCs w:val="28"/>
        </w:rPr>
        <w:t>We create an environment where children feel secure, valued, and confident to talk if they are worried.</w:t>
      </w:r>
    </w:p>
    <w:p w14:paraId="12F70A9B" w14:textId="77777777" w:rsidR="00001BB3" w:rsidRPr="00001BB3" w:rsidRDefault="00001BB3" w:rsidP="00001BB3">
      <w:pPr>
        <w:numPr>
          <w:ilvl w:val="0"/>
          <w:numId w:val="7"/>
        </w:numPr>
        <w:rPr>
          <w:sz w:val="28"/>
          <w:szCs w:val="28"/>
        </w:rPr>
      </w:pPr>
      <w:r w:rsidRPr="00001BB3">
        <w:rPr>
          <w:sz w:val="28"/>
          <w:szCs w:val="28"/>
        </w:rPr>
        <w:t>We work in partnership with parents, carers, and external agencies to safeguard children.</w:t>
      </w:r>
    </w:p>
    <w:p w14:paraId="083D8984" w14:textId="3547061C" w:rsidR="00001BB3" w:rsidRPr="00001BB3" w:rsidRDefault="00001BB3" w:rsidP="00001BB3">
      <w:pPr>
        <w:rPr>
          <w:b/>
          <w:bCs/>
          <w:sz w:val="28"/>
          <w:szCs w:val="28"/>
        </w:rPr>
      </w:pPr>
      <w:r w:rsidRPr="00001BB3">
        <w:rPr>
          <w:b/>
          <w:bCs/>
          <w:sz w:val="28"/>
          <w:szCs w:val="28"/>
        </w:rPr>
        <w:t>Legal and Statutory Framework</w:t>
      </w:r>
    </w:p>
    <w:p w14:paraId="3BD1399C" w14:textId="77777777" w:rsidR="00001BB3" w:rsidRPr="00001BB3" w:rsidRDefault="00001BB3" w:rsidP="00001BB3">
      <w:pPr>
        <w:rPr>
          <w:sz w:val="28"/>
          <w:szCs w:val="28"/>
        </w:rPr>
      </w:pPr>
      <w:r w:rsidRPr="00001BB3">
        <w:rPr>
          <w:sz w:val="28"/>
          <w:szCs w:val="28"/>
        </w:rPr>
        <w:t>This policy has been developed in line with the following legislation and statutory guidance:</w:t>
      </w:r>
    </w:p>
    <w:p w14:paraId="649BF966" w14:textId="77777777" w:rsidR="00001BB3" w:rsidRPr="00001BB3" w:rsidRDefault="00001BB3" w:rsidP="00001BB3">
      <w:pPr>
        <w:numPr>
          <w:ilvl w:val="0"/>
          <w:numId w:val="8"/>
        </w:numPr>
        <w:rPr>
          <w:sz w:val="28"/>
          <w:szCs w:val="28"/>
        </w:rPr>
      </w:pPr>
      <w:r w:rsidRPr="00001BB3">
        <w:rPr>
          <w:b/>
          <w:bCs/>
          <w:sz w:val="28"/>
          <w:szCs w:val="28"/>
        </w:rPr>
        <w:t>Children Act 1989 and 2004</w:t>
      </w:r>
      <w:r w:rsidRPr="00001BB3">
        <w:rPr>
          <w:sz w:val="28"/>
          <w:szCs w:val="28"/>
        </w:rPr>
        <w:t xml:space="preserve"> – establishes the paramountcy principle and duties to safeguard children.</w:t>
      </w:r>
    </w:p>
    <w:p w14:paraId="4EBBB531" w14:textId="77777777" w:rsidR="00001BB3" w:rsidRPr="00001BB3" w:rsidRDefault="00001BB3" w:rsidP="00001BB3">
      <w:pPr>
        <w:numPr>
          <w:ilvl w:val="0"/>
          <w:numId w:val="8"/>
        </w:numPr>
        <w:rPr>
          <w:sz w:val="28"/>
          <w:szCs w:val="28"/>
        </w:rPr>
      </w:pPr>
      <w:r w:rsidRPr="00001BB3">
        <w:rPr>
          <w:b/>
          <w:bCs/>
          <w:sz w:val="28"/>
          <w:szCs w:val="28"/>
        </w:rPr>
        <w:t>Working Together to Safeguard Children (2018, updated 2023)</w:t>
      </w:r>
      <w:r w:rsidRPr="00001BB3">
        <w:rPr>
          <w:sz w:val="28"/>
          <w:szCs w:val="28"/>
        </w:rPr>
        <w:t xml:space="preserve"> – statutory guidance on multi-agency safeguarding responsibilities.</w:t>
      </w:r>
    </w:p>
    <w:p w14:paraId="1222EB4D" w14:textId="77777777" w:rsidR="00001BB3" w:rsidRPr="00001BB3" w:rsidRDefault="00001BB3" w:rsidP="00001BB3">
      <w:pPr>
        <w:numPr>
          <w:ilvl w:val="0"/>
          <w:numId w:val="8"/>
        </w:numPr>
        <w:rPr>
          <w:sz w:val="28"/>
          <w:szCs w:val="28"/>
        </w:rPr>
      </w:pPr>
      <w:r w:rsidRPr="00001BB3">
        <w:rPr>
          <w:b/>
          <w:bCs/>
          <w:sz w:val="28"/>
          <w:szCs w:val="28"/>
        </w:rPr>
        <w:t>Keeping Children Safe in Education (2023)</w:t>
      </w:r>
      <w:r w:rsidRPr="00001BB3">
        <w:rPr>
          <w:sz w:val="28"/>
          <w:szCs w:val="28"/>
        </w:rPr>
        <w:t xml:space="preserve"> – statutory safeguarding guidance for those working with children.</w:t>
      </w:r>
    </w:p>
    <w:p w14:paraId="60A99BEC" w14:textId="4E761C49" w:rsidR="00001BB3" w:rsidRPr="00001BB3" w:rsidRDefault="00001BB3" w:rsidP="00001BB3">
      <w:pPr>
        <w:numPr>
          <w:ilvl w:val="0"/>
          <w:numId w:val="8"/>
        </w:numPr>
        <w:rPr>
          <w:sz w:val="28"/>
          <w:szCs w:val="28"/>
        </w:rPr>
      </w:pPr>
      <w:r w:rsidRPr="00001BB3">
        <w:rPr>
          <w:b/>
          <w:bCs/>
          <w:sz w:val="28"/>
          <w:szCs w:val="28"/>
        </w:rPr>
        <w:lastRenderedPageBreak/>
        <w:t>Statutory Framework for the Early Years Foundation Stage (EYFS 202</w:t>
      </w:r>
      <w:r w:rsidR="006008F3">
        <w:rPr>
          <w:b/>
          <w:bCs/>
          <w:sz w:val="28"/>
          <w:szCs w:val="28"/>
        </w:rPr>
        <w:t>5</w:t>
      </w:r>
      <w:r w:rsidRPr="00001BB3">
        <w:rPr>
          <w:b/>
          <w:bCs/>
          <w:sz w:val="28"/>
          <w:szCs w:val="28"/>
        </w:rPr>
        <w:t>)</w:t>
      </w:r>
      <w:r w:rsidRPr="00001BB3">
        <w:rPr>
          <w:sz w:val="28"/>
          <w:szCs w:val="28"/>
        </w:rPr>
        <w:t xml:space="preserve"> – sets safeguarding and welfare requirements for early years providers.</w:t>
      </w:r>
    </w:p>
    <w:p w14:paraId="65CF9A5A" w14:textId="77777777" w:rsidR="00001BB3" w:rsidRPr="00001BB3" w:rsidRDefault="00001BB3" w:rsidP="00001BB3">
      <w:pPr>
        <w:numPr>
          <w:ilvl w:val="0"/>
          <w:numId w:val="8"/>
        </w:numPr>
        <w:rPr>
          <w:sz w:val="28"/>
          <w:szCs w:val="28"/>
        </w:rPr>
      </w:pPr>
      <w:r w:rsidRPr="00001BB3">
        <w:rPr>
          <w:b/>
          <w:bCs/>
          <w:sz w:val="28"/>
          <w:szCs w:val="28"/>
        </w:rPr>
        <w:t>Education Act 2002, Section 175</w:t>
      </w:r>
      <w:r w:rsidRPr="00001BB3">
        <w:rPr>
          <w:sz w:val="28"/>
          <w:szCs w:val="28"/>
        </w:rPr>
        <w:t xml:space="preserve"> – duty to safeguard and promote the welfare of children.</w:t>
      </w:r>
    </w:p>
    <w:p w14:paraId="686164EE" w14:textId="77777777" w:rsidR="00001BB3" w:rsidRPr="00001BB3" w:rsidRDefault="00001BB3" w:rsidP="00001BB3">
      <w:pPr>
        <w:numPr>
          <w:ilvl w:val="0"/>
          <w:numId w:val="8"/>
        </w:numPr>
        <w:rPr>
          <w:sz w:val="28"/>
          <w:szCs w:val="28"/>
        </w:rPr>
      </w:pPr>
      <w:r w:rsidRPr="00001BB3">
        <w:rPr>
          <w:b/>
          <w:bCs/>
          <w:sz w:val="28"/>
          <w:szCs w:val="28"/>
        </w:rPr>
        <w:t>The Children and Families Act 2014</w:t>
      </w:r>
      <w:r w:rsidRPr="00001BB3">
        <w:rPr>
          <w:sz w:val="28"/>
          <w:szCs w:val="28"/>
        </w:rPr>
        <w:t xml:space="preserve"> – supports children with special educational needs and disabilities (SEND).</w:t>
      </w:r>
    </w:p>
    <w:p w14:paraId="7B69F06C" w14:textId="77777777" w:rsidR="00001BB3" w:rsidRPr="00001BB3" w:rsidRDefault="00001BB3" w:rsidP="00001BB3">
      <w:pPr>
        <w:numPr>
          <w:ilvl w:val="0"/>
          <w:numId w:val="8"/>
        </w:numPr>
        <w:rPr>
          <w:sz w:val="28"/>
          <w:szCs w:val="28"/>
        </w:rPr>
      </w:pPr>
      <w:r w:rsidRPr="00001BB3">
        <w:rPr>
          <w:b/>
          <w:bCs/>
          <w:sz w:val="28"/>
          <w:szCs w:val="28"/>
        </w:rPr>
        <w:t>Data Protection Act 2018 and UK GDPR</w:t>
      </w:r>
      <w:r w:rsidRPr="00001BB3">
        <w:rPr>
          <w:sz w:val="28"/>
          <w:szCs w:val="28"/>
        </w:rPr>
        <w:t xml:space="preserve"> – governs the sharing and storage of information.</w:t>
      </w:r>
    </w:p>
    <w:p w14:paraId="77A46B1F" w14:textId="532E9DAF" w:rsidR="00001BB3" w:rsidRPr="00001BB3" w:rsidRDefault="00001BB3" w:rsidP="00001BB3">
      <w:pPr>
        <w:rPr>
          <w:b/>
          <w:bCs/>
          <w:sz w:val="28"/>
          <w:szCs w:val="28"/>
        </w:rPr>
      </w:pPr>
      <w:r w:rsidRPr="00001BB3">
        <w:rPr>
          <w:b/>
          <w:bCs/>
          <w:sz w:val="28"/>
          <w:szCs w:val="28"/>
        </w:rPr>
        <w:t>Roles and Responsibilities</w:t>
      </w:r>
    </w:p>
    <w:p w14:paraId="79AE7E64" w14:textId="251991DE" w:rsidR="00001BB3" w:rsidRPr="00001BB3" w:rsidRDefault="00001BB3" w:rsidP="00001BB3">
      <w:pPr>
        <w:numPr>
          <w:ilvl w:val="0"/>
          <w:numId w:val="9"/>
        </w:numPr>
        <w:rPr>
          <w:sz w:val="28"/>
          <w:szCs w:val="28"/>
        </w:rPr>
      </w:pPr>
      <w:r w:rsidRPr="00001BB3">
        <w:rPr>
          <w:b/>
          <w:bCs/>
          <w:sz w:val="28"/>
          <w:szCs w:val="28"/>
        </w:rPr>
        <w:t>Designated Safeguarding Lead (DSL):</w:t>
      </w:r>
      <w:r w:rsidRPr="00001BB3">
        <w:rPr>
          <w:sz w:val="28"/>
          <w:szCs w:val="28"/>
        </w:rPr>
        <w:t xml:space="preserve"> </w:t>
      </w:r>
      <w:r w:rsidR="006008F3">
        <w:rPr>
          <w:sz w:val="28"/>
          <w:szCs w:val="28"/>
        </w:rPr>
        <w:t>Katie Haskell and Leanne Burton</w:t>
      </w:r>
      <w:r w:rsidRPr="00001BB3">
        <w:rPr>
          <w:sz w:val="28"/>
          <w:szCs w:val="28"/>
        </w:rPr>
        <w:t>, who takes lead responsibility for safeguarding and child protection.</w:t>
      </w:r>
    </w:p>
    <w:p w14:paraId="7B2DA7FA" w14:textId="66121295" w:rsidR="00001BB3" w:rsidRPr="00001BB3" w:rsidRDefault="00001BB3" w:rsidP="00001BB3">
      <w:pPr>
        <w:numPr>
          <w:ilvl w:val="0"/>
          <w:numId w:val="9"/>
        </w:numPr>
        <w:rPr>
          <w:sz w:val="28"/>
          <w:szCs w:val="28"/>
        </w:rPr>
      </w:pPr>
      <w:r w:rsidRPr="00001BB3">
        <w:rPr>
          <w:b/>
          <w:bCs/>
          <w:sz w:val="28"/>
          <w:szCs w:val="28"/>
        </w:rPr>
        <w:t>All Staff and Volunteers:</w:t>
      </w:r>
      <w:r w:rsidRPr="00001BB3">
        <w:rPr>
          <w:sz w:val="28"/>
          <w:szCs w:val="28"/>
        </w:rPr>
        <w:t xml:space="preserve"> Must be alert to signs of abuse and neglect and report concerns immediately.</w:t>
      </w:r>
      <w:r w:rsidR="006008F3">
        <w:rPr>
          <w:sz w:val="28"/>
          <w:szCs w:val="28"/>
        </w:rPr>
        <w:t xml:space="preserve"> All staff at Durley House Nursery and Learning will receive Level 2 Safeguarding Training. </w:t>
      </w:r>
    </w:p>
    <w:p w14:paraId="7D753A67" w14:textId="76ECBE72" w:rsidR="00001BB3" w:rsidRPr="00001BB3" w:rsidRDefault="00001BB3" w:rsidP="00001BB3">
      <w:pPr>
        <w:rPr>
          <w:b/>
          <w:bCs/>
          <w:sz w:val="28"/>
          <w:szCs w:val="28"/>
        </w:rPr>
      </w:pPr>
      <w:r w:rsidRPr="00001BB3">
        <w:rPr>
          <w:b/>
          <w:bCs/>
          <w:sz w:val="28"/>
          <w:szCs w:val="28"/>
        </w:rPr>
        <w:t>Types of Abuse and Neglect</w:t>
      </w:r>
    </w:p>
    <w:p w14:paraId="154E8E70" w14:textId="77777777" w:rsidR="00001BB3" w:rsidRPr="00001BB3" w:rsidRDefault="00001BB3" w:rsidP="00001BB3">
      <w:pPr>
        <w:rPr>
          <w:sz w:val="28"/>
          <w:szCs w:val="28"/>
        </w:rPr>
      </w:pPr>
      <w:r w:rsidRPr="00001BB3">
        <w:rPr>
          <w:sz w:val="28"/>
          <w:szCs w:val="28"/>
        </w:rPr>
        <w:t xml:space="preserve">As defined in </w:t>
      </w:r>
      <w:r w:rsidRPr="00001BB3">
        <w:rPr>
          <w:i/>
          <w:iCs/>
          <w:sz w:val="28"/>
          <w:szCs w:val="28"/>
        </w:rPr>
        <w:t>Working Together to Safeguard Children (2018)</w:t>
      </w:r>
      <w:r w:rsidRPr="00001BB3">
        <w:rPr>
          <w:sz w:val="28"/>
          <w:szCs w:val="28"/>
        </w:rPr>
        <w:t>:</w:t>
      </w:r>
    </w:p>
    <w:p w14:paraId="01BB0C79" w14:textId="77777777" w:rsidR="00001BB3" w:rsidRPr="00001BB3" w:rsidRDefault="00001BB3" w:rsidP="00001BB3">
      <w:pPr>
        <w:numPr>
          <w:ilvl w:val="0"/>
          <w:numId w:val="10"/>
        </w:numPr>
        <w:rPr>
          <w:sz w:val="28"/>
          <w:szCs w:val="28"/>
        </w:rPr>
      </w:pPr>
      <w:r w:rsidRPr="00001BB3">
        <w:rPr>
          <w:b/>
          <w:bCs/>
          <w:sz w:val="28"/>
          <w:szCs w:val="28"/>
        </w:rPr>
        <w:t>Physical Abuse</w:t>
      </w:r>
      <w:r w:rsidRPr="00001BB3">
        <w:rPr>
          <w:sz w:val="28"/>
          <w:szCs w:val="28"/>
        </w:rPr>
        <w:t xml:space="preserve"> – causing physical harm to a child.</w:t>
      </w:r>
    </w:p>
    <w:p w14:paraId="7FDA30C1" w14:textId="77777777" w:rsidR="00001BB3" w:rsidRPr="00001BB3" w:rsidRDefault="00001BB3" w:rsidP="00001BB3">
      <w:pPr>
        <w:numPr>
          <w:ilvl w:val="0"/>
          <w:numId w:val="10"/>
        </w:numPr>
        <w:rPr>
          <w:sz w:val="28"/>
          <w:szCs w:val="28"/>
        </w:rPr>
      </w:pPr>
      <w:r w:rsidRPr="00001BB3">
        <w:rPr>
          <w:b/>
          <w:bCs/>
          <w:sz w:val="28"/>
          <w:szCs w:val="28"/>
        </w:rPr>
        <w:t>Emotional Abuse</w:t>
      </w:r>
      <w:r w:rsidRPr="00001BB3">
        <w:rPr>
          <w:sz w:val="28"/>
          <w:szCs w:val="28"/>
        </w:rPr>
        <w:t xml:space="preserve"> – persistent emotional maltreatment, including bullying or making a child feel worthless.</w:t>
      </w:r>
    </w:p>
    <w:p w14:paraId="708D6229" w14:textId="77777777" w:rsidR="00001BB3" w:rsidRPr="00001BB3" w:rsidRDefault="00001BB3" w:rsidP="00001BB3">
      <w:pPr>
        <w:numPr>
          <w:ilvl w:val="0"/>
          <w:numId w:val="10"/>
        </w:numPr>
        <w:rPr>
          <w:sz w:val="28"/>
          <w:szCs w:val="28"/>
        </w:rPr>
      </w:pPr>
      <w:r w:rsidRPr="00001BB3">
        <w:rPr>
          <w:b/>
          <w:bCs/>
          <w:sz w:val="28"/>
          <w:szCs w:val="28"/>
        </w:rPr>
        <w:t>Sexual Abuse</w:t>
      </w:r>
      <w:r w:rsidRPr="00001BB3">
        <w:rPr>
          <w:sz w:val="28"/>
          <w:szCs w:val="28"/>
        </w:rPr>
        <w:t xml:space="preserve"> – forcing or enticing a child to take part in sexual activities.</w:t>
      </w:r>
    </w:p>
    <w:p w14:paraId="7AFBAE03" w14:textId="77777777" w:rsidR="00001BB3" w:rsidRPr="00001BB3" w:rsidRDefault="00001BB3" w:rsidP="00001BB3">
      <w:pPr>
        <w:numPr>
          <w:ilvl w:val="0"/>
          <w:numId w:val="10"/>
        </w:numPr>
        <w:rPr>
          <w:sz w:val="28"/>
          <w:szCs w:val="28"/>
        </w:rPr>
      </w:pPr>
      <w:r w:rsidRPr="00001BB3">
        <w:rPr>
          <w:b/>
          <w:bCs/>
          <w:sz w:val="28"/>
          <w:szCs w:val="28"/>
        </w:rPr>
        <w:t>Neglect</w:t>
      </w:r>
      <w:r w:rsidRPr="00001BB3">
        <w:rPr>
          <w:sz w:val="28"/>
          <w:szCs w:val="28"/>
        </w:rPr>
        <w:t xml:space="preserve"> – persistent failure to meet a child’s basic needs.</w:t>
      </w:r>
    </w:p>
    <w:p w14:paraId="1B869D61" w14:textId="0525D60F" w:rsidR="00001BB3" w:rsidRPr="00001BB3" w:rsidRDefault="00001BB3" w:rsidP="00001BB3">
      <w:pPr>
        <w:rPr>
          <w:b/>
          <w:bCs/>
          <w:sz w:val="28"/>
          <w:szCs w:val="28"/>
        </w:rPr>
      </w:pPr>
      <w:r w:rsidRPr="00001BB3">
        <w:rPr>
          <w:b/>
          <w:bCs/>
          <w:sz w:val="28"/>
          <w:szCs w:val="28"/>
        </w:rPr>
        <w:t>Safeguarding Procedures</w:t>
      </w:r>
    </w:p>
    <w:p w14:paraId="16505A9F" w14:textId="0D3D30CF" w:rsidR="00001BB3" w:rsidRPr="00001BB3" w:rsidRDefault="00001BB3" w:rsidP="00001BB3">
      <w:pPr>
        <w:numPr>
          <w:ilvl w:val="0"/>
          <w:numId w:val="11"/>
        </w:numPr>
        <w:rPr>
          <w:sz w:val="28"/>
          <w:szCs w:val="28"/>
        </w:rPr>
      </w:pPr>
      <w:r w:rsidRPr="00001BB3">
        <w:rPr>
          <w:sz w:val="28"/>
          <w:szCs w:val="28"/>
        </w:rPr>
        <w:t>Staff must report any safeguarding concerns to the DSL immediately</w:t>
      </w:r>
      <w:r w:rsidR="006008F3">
        <w:rPr>
          <w:sz w:val="28"/>
          <w:szCs w:val="28"/>
        </w:rPr>
        <w:t>. (Katie and Leanne)</w:t>
      </w:r>
    </w:p>
    <w:p w14:paraId="23B14B13" w14:textId="77777777" w:rsidR="00001BB3" w:rsidRPr="00001BB3" w:rsidRDefault="00001BB3" w:rsidP="00001BB3">
      <w:pPr>
        <w:numPr>
          <w:ilvl w:val="0"/>
          <w:numId w:val="11"/>
        </w:numPr>
        <w:rPr>
          <w:sz w:val="28"/>
          <w:szCs w:val="28"/>
        </w:rPr>
      </w:pPr>
      <w:r w:rsidRPr="00001BB3">
        <w:rPr>
          <w:sz w:val="28"/>
          <w:szCs w:val="28"/>
        </w:rPr>
        <w:t>The DSL will record concerns factually and decide whether to refer to the Local Authority Children’s Social Care.</w:t>
      </w:r>
    </w:p>
    <w:p w14:paraId="6399CC0D" w14:textId="77777777" w:rsidR="00001BB3" w:rsidRPr="00001BB3" w:rsidRDefault="00001BB3" w:rsidP="00001BB3">
      <w:pPr>
        <w:numPr>
          <w:ilvl w:val="0"/>
          <w:numId w:val="11"/>
        </w:numPr>
        <w:rPr>
          <w:sz w:val="28"/>
          <w:szCs w:val="28"/>
        </w:rPr>
      </w:pPr>
      <w:r w:rsidRPr="00001BB3">
        <w:rPr>
          <w:sz w:val="28"/>
          <w:szCs w:val="28"/>
        </w:rPr>
        <w:t>In an emergency, staff must contact the police (999) or Children’s Services directly.</w:t>
      </w:r>
    </w:p>
    <w:p w14:paraId="1E35F8C0" w14:textId="77777777" w:rsidR="00001BB3" w:rsidRPr="00001BB3" w:rsidRDefault="00001BB3" w:rsidP="00001BB3">
      <w:pPr>
        <w:numPr>
          <w:ilvl w:val="0"/>
          <w:numId w:val="11"/>
        </w:numPr>
        <w:rPr>
          <w:sz w:val="28"/>
          <w:szCs w:val="28"/>
        </w:rPr>
      </w:pPr>
      <w:r w:rsidRPr="00001BB3">
        <w:rPr>
          <w:sz w:val="28"/>
          <w:szCs w:val="28"/>
        </w:rPr>
        <w:lastRenderedPageBreak/>
        <w:t>Allegations against staff will be referred to the Local Authority Designated Officer (LADO).</w:t>
      </w:r>
    </w:p>
    <w:p w14:paraId="39B3CE52" w14:textId="5451A408" w:rsidR="00001BB3" w:rsidRPr="00001BB3" w:rsidRDefault="00001BB3" w:rsidP="00001BB3">
      <w:pPr>
        <w:rPr>
          <w:b/>
          <w:bCs/>
          <w:sz w:val="28"/>
          <w:szCs w:val="28"/>
        </w:rPr>
      </w:pPr>
      <w:r w:rsidRPr="00001BB3">
        <w:rPr>
          <w:b/>
          <w:bCs/>
          <w:sz w:val="28"/>
          <w:szCs w:val="28"/>
        </w:rPr>
        <w:t>Safer Recruitment</w:t>
      </w:r>
    </w:p>
    <w:p w14:paraId="41FEF236" w14:textId="3B228B2F" w:rsidR="00001BB3" w:rsidRPr="00001BB3" w:rsidRDefault="00001BB3" w:rsidP="00001BB3">
      <w:pPr>
        <w:rPr>
          <w:sz w:val="28"/>
          <w:szCs w:val="28"/>
        </w:rPr>
      </w:pPr>
      <w:r w:rsidRPr="00001BB3">
        <w:rPr>
          <w:sz w:val="28"/>
          <w:szCs w:val="28"/>
        </w:rPr>
        <w:t xml:space="preserve">Durley House Nursery and Learning </w:t>
      </w:r>
      <w:r w:rsidR="009D66E2" w:rsidRPr="00001BB3">
        <w:rPr>
          <w:sz w:val="28"/>
          <w:szCs w:val="28"/>
        </w:rPr>
        <w:t>follow</w:t>
      </w:r>
      <w:r w:rsidRPr="00001BB3">
        <w:rPr>
          <w:sz w:val="28"/>
          <w:szCs w:val="28"/>
        </w:rPr>
        <w:t xml:space="preserve"> safer recruitment procedures to ensure all staff and volunteers are suitable to work with children. This includes:</w:t>
      </w:r>
    </w:p>
    <w:p w14:paraId="6C9ED3F6" w14:textId="77777777" w:rsidR="00001BB3" w:rsidRPr="00001BB3" w:rsidRDefault="00001BB3" w:rsidP="00001BB3">
      <w:pPr>
        <w:numPr>
          <w:ilvl w:val="0"/>
          <w:numId w:val="12"/>
        </w:numPr>
        <w:rPr>
          <w:sz w:val="28"/>
          <w:szCs w:val="28"/>
        </w:rPr>
      </w:pPr>
      <w:r w:rsidRPr="00001BB3">
        <w:rPr>
          <w:sz w:val="28"/>
          <w:szCs w:val="28"/>
        </w:rPr>
        <w:t xml:space="preserve">Enhanced </w:t>
      </w:r>
      <w:r w:rsidRPr="00001BB3">
        <w:rPr>
          <w:b/>
          <w:bCs/>
          <w:sz w:val="28"/>
          <w:szCs w:val="28"/>
        </w:rPr>
        <w:t>DBS checks</w:t>
      </w:r>
      <w:r w:rsidRPr="00001BB3">
        <w:rPr>
          <w:sz w:val="28"/>
          <w:szCs w:val="28"/>
        </w:rPr>
        <w:t>.</w:t>
      </w:r>
    </w:p>
    <w:p w14:paraId="2436761C" w14:textId="77777777" w:rsidR="00001BB3" w:rsidRPr="00001BB3" w:rsidRDefault="00001BB3" w:rsidP="00001BB3">
      <w:pPr>
        <w:numPr>
          <w:ilvl w:val="0"/>
          <w:numId w:val="12"/>
        </w:numPr>
        <w:rPr>
          <w:sz w:val="28"/>
          <w:szCs w:val="28"/>
        </w:rPr>
      </w:pPr>
      <w:r w:rsidRPr="00001BB3">
        <w:rPr>
          <w:sz w:val="28"/>
          <w:szCs w:val="28"/>
        </w:rPr>
        <w:t>Verification of identity, qualifications, and employment history.</w:t>
      </w:r>
    </w:p>
    <w:p w14:paraId="585DDFD2" w14:textId="77777777" w:rsidR="00001BB3" w:rsidRPr="00001BB3" w:rsidRDefault="00001BB3" w:rsidP="00001BB3">
      <w:pPr>
        <w:numPr>
          <w:ilvl w:val="0"/>
          <w:numId w:val="12"/>
        </w:numPr>
        <w:rPr>
          <w:sz w:val="28"/>
          <w:szCs w:val="28"/>
        </w:rPr>
      </w:pPr>
      <w:r w:rsidRPr="00001BB3">
        <w:rPr>
          <w:sz w:val="28"/>
          <w:szCs w:val="28"/>
        </w:rPr>
        <w:t>At least two references.</w:t>
      </w:r>
    </w:p>
    <w:p w14:paraId="2460585A" w14:textId="77777777" w:rsidR="00001BB3" w:rsidRPr="00001BB3" w:rsidRDefault="00001BB3" w:rsidP="00001BB3">
      <w:pPr>
        <w:numPr>
          <w:ilvl w:val="0"/>
          <w:numId w:val="12"/>
        </w:numPr>
        <w:rPr>
          <w:sz w:val="28"/>
          <w:szCs w:val="28"/>
        </w:rPr>
      </w:pPr>
      <w:r w:rsidRPr="00001BB3">
        <w:rPr>
          <w:sz w:val="28"/>
          <w:szCs w:val="28"/>
        </w:rPr>
        <w:t>Ongoing supervision and safeguarding training.</w:t>
      </w:r>
    </w:p>
    <w:p w14:paraId="32C38A15" w14:textId="61B473D0" w:rsidR="00001BB3" w:rsidRPr="00001BB3" w:rsidRDefault="00001BB3" w:rsidP="00001BB3">
      <w:pPr>
        <w:rPr>
          <w:b/>
          <w:bCs/>
          <w:sz w:val="28"/>
          <w:szCs w:val="28"/>
        </w:rPr>
      </w:pPr>
      <w:r w:rsidRPr="00001BB3">
        <w:rPr>
          <w:b/>
          <w:bCs/>
          <w:sz w:val="28"/>
          <w:szCs w:val="28"/>
        </w:rPr>
        <w:t>Training and Awareness</w:t>
      </w:r>
    </w:p>
    <w:p w14:paraId="129525F7" w14:textId="77777777" w:rsidR="00001BB3" w:rsidRPr="00001BB3" w:rsidRDefault="00001BB3" w:rsidP="00001BB3">
      <w:pPr>
        <w:numPr>
          <w:ilvl w:val="0"/>
          <w:numId w:val="13"/>
        </w:numPr>
        <w:rPr>
          <w:sz w:val="28"/>
          <w:szCs w:val="28"/>
        </w:rPr>
      </w:pPr>
      <w:r w:rsidRPr="00001BB3">
        <w:rPr>
          <w:sz w:val="28"/>
          <w:szCs w:val="28"/>
        </w:rPr>
        <w:t>All staff receive safeguarding induction training.</w:t>
      </w:r>
    </w:p>
    <w:p w14:paraId="7EDE4281" w14:textId="77777777" w:rsidR="00001BB3" w:rsidRPr="00001BB3" w:rsidRDefault="00001BB3" w:rsidP="00001BB3">
      <w:pPr>
        <w:numPr>
          <w:ilvl w:val="0"/>
          <w:numId w:val="13"/>
        </w:numPr>
        <w:rPr>
          <w:sz w:val="28"/>
          <w:szCs w:val="28"/>
        </w:rPr>
      </w:pPr>
      <w:r w:rsidRPr="00001BB3">
        <w:rPr>
          <w:sz w:val="28"/>
          <w:szCs w:val="28"/>
        </w:rPr>
        <w:t xml:space="preserve">Annual safeguarding updates and refreshers are provided in line with </w:t>
      </w:r>
      <w:r w:rsidRPr="00001BB3">
        <w:rPr>
          <w:i/>
          <w:iCs/>
          <w:sz w:val="28"/>
          <w:szCs w:val="28"/>
        </w:rPr>
        <w:t>Keeping Children Safe in Education</w:t>
      </w:r>
      <w:r w:rsidRPr="00001BB3">
        <w:rPr>
          <w:sz w:val="28"/>
          <w:szCs w:val="28"/>
        </w:rPr>
        <w:t>.</w:t>
      </w:r>
    </w:p>
    <w:p w14:paraId="2FAA3D89" w14:textId="2780F826" w:rsidR="00001BB3" w:rsidRPr="00001BB3" w:rsidRDefault="00001BB3" w:rsidP="00001BB3">
      <w:pPr>
        <w:numPr>
          <w:ilvl w:val="0"/>
          <w:numId w:val="13"/>
        </w:numPr>
        <w:rPr>
          <w:sz w:val="28"/>
          <w:szCs w:val="28"/>
        </w:rPr>
      </w:pPr>
      <w:r w:rsidRPr="00001BB3">
        <w:rPr>
          <w:sz w:val="28"/>
          <w:szCs w:val="28"/>
        </w:rPr>
        <w:t xml:space="preserve">The </w:t>
      </w:r>
      <w:r w:rsidR="009D66E2">
        <w:rPr>
          <w:sz w:val="28"/>
          <w:szCs w:val="28"/>
        </w:rPr>
        <w:t>DSLs</w:t>
      </w:r>
      <w:r w:rsidRPr="00001BB3">
        <w:rPr>
          <w:sz w:val="28"/>
          <w:szCs w:val="28"/>
        </w:rPr>
        <w:t xml:space="preserve"> undertake advanced safeguarding training every two years.</w:t>
      </w:r>
    </w:p>
    <w:p w14:paraId="054143AE" w14:textId="04174342" w:rsidR="00001BB3" w:rsidRPr="00001BB3" w:rsidRDefault="00001BB3" w:rsidP="00001BB3">
      <w:pPr>
        <w:rPr>
          <w:b/>
          <w:bCs/>
          <w:sz w:val="28"/>
          <w:szCs w:val="28"/>
        </w:rPr>
      </w:pPr>
      <w:r w:rsidRPr="00001BB3">
        <w:rPr>
          <w:b/>
          <w:bCs/>
          <w:sz w:val="28"/>
          <w:szCs w:val="28"/>
        </w:rPr>
        <w:t>Confidentiality and Information Sharing</w:t>
      </w:r>
    </w:p>
    <w:p w14:paraId="33CE2960" w14:textId="77777777" w:rsidR="00001BB3" w:rsidRPr="00001BB3" w:rsidRDefault="00001BB3" w:rsidP="00001BB3">
      <w:pPr>
        <w:numPr>
          <w:ilvl w:val="0"/>
          <w:numId w:val="14"/>
        </w:numPr>
        <w:rPr>
          <w:sz w:val="28"/>
          <w:szCs w:val="28"/>
        </w:rPr>
      </w:pPr>
      <w:r w:rsidRPr="00001BB3">
        <w:rPr>
          <w:sz w:val="28"/>
          <w:szCs w:val="28"/>
        </w:rPr>
        <w:t xml:space="preserve">Safeguarding concerns will be shared only with those who need to know, in line with </w:t>
      </w:r>
      <w:r w:rsidRPr="00001BB3">
        <w:rPr>
          <w:i/>
          <w:iCs/>
          <w:sz w:val="28"/>
          <w:szCs w:val="28"/>
        </w:rPr>
        <w:t>Information Sharing: Advice for Practitioners (2018)</w:t>
      </w:r>
      <w:r w:rsidRPr="00001BB3">
        <w:rPr>
          <w:sz w:val="28"/>
          <w:szCs w:val="28"/>
        </w:rPr>
        <w:t>.</w:t>
      </w:r>
    </w:p>
    <w:p w14:paraId="07162670" w14:textId="77777777" w:rsidR="00001BB3" w:rsidRPr="00001BB3" w:rsidRDefault="00001BB3" w:rsidP="00001BB3">
      <w:pPr>
        <w:numPr>
          <w:ilvl w:val="0"/>
          <w:numId w:val="14"/>
        </w:numPr>
        <w:rPr>
          <w:sz w:val="28"/>
          <w:szCs w:val="28"/>
        </w:rPr>
      </w:pPr>
      <w:r w:rsidRPr="00001BB3">
        <w:rPr>
          <w:sz w:val="28"/>
          <w:szCs w:val="28"/>
        </w:rPr>
        <w:t>Records are kept securely in line with data protection law.</w:t>
      </w:r>
    </w:p>
    <w:p w14:paraId="1AF62FAC" w14:textId="6ABC20FD" w:rsidR="00001BB3" w:rsidRPr="00001BB3" w:rsidRDefault="00001BB3" w:rsidP="00001BB3">
      <w:pPr>
        <w:rPr>
          <w:b/>
          <w:bCs/>
          <w:sz w:val="28"/>
          <w:szCs w:val="28"/>
        </w:rPr>
      </w:pPr>
      <w:r w:rsidRPr="00001BB3">
        <w:rPr>
          <w:b/>
          <w:bCs/>
          <w:sz w:val="28"/>
          <w:szCs w:val="28"/>
        </w:rPr>
        <w:t>Working in Partnership</w:t>
      </w:r>
    </w:p>
    <w:p w14:paraId="718F98F2" w14:textId="77777777" w:rsidR="00001BB3" w:rsidRPr="00001BB3" w:rsidRDefault="00001BB3" w:rsidP="00001BB3">
      <w:pPr>
        <w:rPr>
          <w:sz w:val="28"/>
          <w:szCs w:val="28"/>
        </w:rPr>
      </w:pPr>
      <w:r w:rsidRPr="00001BB3">
        <w:rPr>
          <w:sz w:val="28"/>
          <w:szCs w:val="28"/>
        </w:rPr>
        <w:t>We work closely with parents, carers, and multi-agency partners to protect children. Where appropriate, we will seek consent before sharing information, unless doing so would place a child at risk of harm.</w:t>
      </w:r>
    </w:p>
    <w:p w14:paraId="602806AD" w14:textId="0C712404" w:rsidR="00001BB3" w:rsidRPr="00001BB3" w:rsidRDefault="00001BB3" w:rsidP="00001BB3">
      <w:pPr>
        <w:rPr>
          <w:b/>
          <w:bCs/>
          <w:sz w:val="28"/>
          <w:szCs w:val="28"/>
        </w:rPr>
      </w:pPr>
      <w:r w:rsidRPr="00001BB3">
        <w:rPr>
          <w:b/>
          <w:bCs/>
          <w:sz w:val="28"/>
          <w:szCs w:val="28"/>
        </w:rPr>
        <w:t>Monitoring and Review</w:t>
      </w:r>
    </w:p>
    <w:p w14:paraId="7A950C96" w14:textId="77777777" w:rsidR="00001BB3" w:rsidRPr="00001BB3" w:rsidRDefault="00001BB3" w:rsidP="00001BB3">
      <w:pPr>
        <w:rPr>
          <w:sz w:val="28"/>
          <w:szCs w:val="28"/>
        </w:rPr>
      </w:pPr>
      <w:r w:rsidRPr="00001BB3">
        <w:rPr>
          <w:sz w:val="28"/>
          <w:szCs w:val="28"/>
        </w:rPr>
        <w:t>This policy will be reviewed annually by the DSL and Nursery Manager or sooner if there are changes to legislation or guidance.</w:t>
      </w:r>
    </w:p>
    <w:p w14:paraId="74B6CA59" w14:textId="77777777" w:rsidR="00001BB3" w:rsidRDefault="00001BB3" w:rsidP="00EF554B">
      <w:pPr>
        <w:rPr>
          <w:sz w:val="28"/>
          <w:szCs w:val="28"/>
        </w:rPr>
      </w:pPr>
    </w:p>
    <w:p w14:paraId="599745C1" w14:textId="040045CB" w:rsidR="00743734" w:rsidRPr="00D21561" w:rsidRDefault="00743734" w:rsidP="00D21561">
      <w:pPr>
        <w:rPr>
          <w:sz w:val="28"/>
          <w:szCs w:val="28"/>
        </w:rPr>
      </w:pPr>
    </w:p>
    <w:sectPr w:rsidR="00743734" w:rsidRPr="00D2156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E7D2" w14:textId="77777777" w:rsidR="00BC4928" w:rsidRDefault="00BC4928" w:rsidP="00F22719">
      <w:pPr>
        <w:spacing w:after="0" w:line="240" w:lineRule="auto"/>
      </w:pPr>
      <w:r>
        <w:separator/>
      </w:r>
    </w:p>
  </w:endnote>
  <w:endnote w:type="continuationSeparator" w:id="0">
    <w:p w14:paraId="5AF0057D" w14:textId="77777777" w:rsidR="00BC4928" w:rsidRDefault="00BC4928"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04DD" w14:textId="77777777" w:rsidR="00BC4928" w:rsidRDefault="00BC4928" w:rsidP="00F22719">
      <w:pPr>
        <w:spacing w:after="0" w:line="240" w:lineRule="auto"/>
      </w:pPr>
      <w:r>
        <w:separator/>
      </w:r>
    </w:p>
  </w:footnote>
  <w:footnote w:type="continuationSeparator" w:id="0">
    <w:p w14:paraId="697EA24A" w14:textId="77777777" w:rsidR="00BC4928" w:rsidRDefault="00BC4928"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A6B"/>
    <w:multiLevelType w:val="multilevel"/>
    <w:tmpl w:val="994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33D1"/>
    <w:multiLevelType w:val="multilevel"/>
    <w:tmpl w:val="1052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037D4"/>
    <w:multiLevelType w:val="hybridMultilevel"/>
    <w:tmpl w:val="59B4E330"/>
    <w:lvl w:ilvl="0" w:tplc="95404BD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6551B"/>
    <w:multiLevelType w:val="multilevel"/>
    <w:tmpl w:val="80AA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45984"/>
    <w:multiLevelType w:val="multilevel"/>
    <w:tmpl w:val="DAA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234E0"/>
    <w:multiLevelType w:val="multilevel"/>
    <w:tmpl w:val="7FB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E27A9"/>
    <w:multiLevelType w:val="multilevel"/>
    <w:tmpl w:val="63D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A47FC"/>
    <w:multiLevelType w:val="multilevel"/>
    <w:tmpl w:val="BF1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8340D"/>
    <w:multiLevelType w:val="multilevel"/>
    <w:tmpl w:val="0BCA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C28AB"/>
    <w:multiLevelType w:val="hybridMultilevel"/>
    <w:tmpl w:val="8A1A6756"/>
    <w:lvl w:ilvl="0" w:tplc="858CB65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13"/>
  </w:num>
  <w:num w:numId="2" w16cid:durableId="1876233843">
    <w:abstractNumId w:val="6"/>
  </w:num>
  <w:num w:numId="3" w16cid:durableId="1753426309">
    <w:abstractNumId w:val="12"/>
  </w:num>
  <w:num w:numId="4" w16cid:durableId="149756759">
    <w:abstractNumId w:val="9"/>
  </w:num>
  <w:num w:numId="5" w16cid:durableId="1977181038">
    <w:abstractNumId w:val="11"/>
  </w:num>
  <w:num w:numId="6" w16cid:durableId="519777107">
    <w:abstractNumId w:val="2"/>
  </w:num>
  <w:num w:numId="7" w16cid:durableId="895317911">
    <w:abstractNumId w:val="4"/>
  </w:num>
  <w:num w:numId="8" w16cid:durableId="308098085">
    <w:abstractNumId w:val="7"/>
  </w:num>
  <w:num w:numId="9" w16cid:durableId="1546791675">
    <w:abstractNumId w:val="8"/>
  </w:num>
  <w:num w:numId="10" w16cid:durableId="587496522">
    <w:abstractNumId w:val="3"/>
  </w:num>
  <w:num w:numId="11" w16cid:durableId="333606757">
    <w:abstractNumId w:val="1"/>
  </w:num>
  <w:num w:numId="12" w16cid:durableId="291447209">
    <w:abstractNumId w:val="10"/>
  </w:num>
  <w:num w:numId="13" w16cid:durableId="332727566">
    <w:abstractNumId w:val="0"/>
  </w:num>
  <w:num w:numId="14" w16cid:durableId="1509060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1BB3"/>
    <w:rsid w:val="00012532"/>
    <w:rsid w:val="0002212A"/>
    <w:rsid w:val="00024E76"/>
    <w:rsid w:val="00071AB3"/>
    <w:rsid w:val="00072716"/>
    <w:rsid w:val="00072B9C"/>
    <w:rsid w:val="000751F0"/>
    <w:rsid w:val="00090B12"/>
    <w:rsid w:val="00093659"/>
    <w:rsid w:val="000946BF"/>
    <w:rsid w:val="000C353E"/>
    <w:rsid w:val="000C6195"/>
    <w:rsid w:val="000E68F0"/>
    <w:rsid w:val="00100D38"/>
    <w:rsid w:val="00121830"/>
    <w:rsid w:val="0012226D"/>
    <w:rsid w:val="00127F74"/>
    <w:rsid w:val="001A3353"/>
    <w:rsid w:val="001B0E2E"/>
    <w:rsid w:val="001B1BC8"/>
    <w:rsid w:val="00292FA1"/>
    <w:rsid w:val="002A4E9D"/>
    <w:rsid w:val="002C6D56"/>
    <w:rsid w:val="00305D27"/>
    <w:rsid w:val="00317D2D"/>
    <w:rsid w:val="003A1D9A"/>
    <w:rsid w:val="003B4206"/>
    <w:rsid w:val="0042116F"/>
    <w:rsid w:val="0042393D"/>
    <w:rsid w:val="0045020D"/>
    <w:rsid w:val="00453FD5"/>
    <w:rsid w:val="0046500F"/>
    <w:rsid w:val="004729E7"/>
    <w:rsid w:val="004969F4"/>
    <w:rsid w:val="004A02E2"/>
    <w:rsid w:val="004A4A8A"/>
    <w:rsid w:val="004B591E"/>
    <w:rsid w:val="004C19D0"/>
    <w:rsid w:val="004F1AF8"/>
    <w:rsid w:val="0052795C"/>
    <w:rsid w:val="00540AE3"/>
    <w:rsid w:val="00541AE3"/>
    <w:rsid w:val="005534C1"/>
    <w:rsid w:val="005A16FB"/>
    <w:rsid w:val="005B6881"/>
    <w:rsid w:val="005C4FB2"/>
    <w:rsid w:val="005E6D27"/>
    <w:rsid w:val="005F5040"/>
    <w:rsid w:val="006008F3"/>
    <w:rsid w:val="00604005"/>
    <w:rsid w:val="006335FC"/>
    <w:rsid w:val="006546D0"/>
    <w:rsid w:val="00690810"/>
    <w:rsid w:val="006D01E7"/>
    <w:rsid w:val="006E1BF7"/>
    <w:rsid w:val="006E21B3"/>
    <w:rsid w:val="00714E86"/>
    <w:rsid w:val="007365EA"/>
    <w:rsid w:val="00741B7B"/>
    <w:rsid w:val="00743734"/>
    <w:rsid w:val="00773F4A"/>
    <w:rsid w:val="00780E81"/>
    <w:rsid w:val="007A5918"/>
    <w:rsid w:val="007B3AFB"/>
    <w:rsid w:val="007B569F"/>
    <w:rsid w:val="008005C5"/>
    <w:rsid w:val="0080253D"/>
    <w:rsid w:val="00820385"/>
    <w:rsid w:val="00823FFC"/>
    <w:rsid w:val="00845C27"/>
    <w:rsid w:val="00886156"/>
    <w:rsid w:val="008D21F0"/>
    <w:rsid w:val="00921BAA"/>
    <w:rsid w:val="0092247A"/>
    <w:rsid w:val="00924B7D"/>
    <w:rsid w:val="00953495"/>
    <w:rsid w:val="00954057"/>
    <w:rsid w:val="00980B18"/>
    <w:rsid w:val="00981C8B"/>
    <w:rsid w:val="00985DB9"/>
    <w:rsid w:val="0099245D"/>
    <w:rsid w:val="00997947"/>
    <w:rsid w:val="009D66E2"/>
    <w:rsid w:val="009F7280"/>
    <w:rsid w:val="00A07784"/>
    <w:rsid w:val="00A12204"/>
    <w:rsid w:val="00A83447"/>
    <w:rsid w:val="00A85E38"/>
    <w:rsid w:val="00A87E6B"/>
    <w:rsid w:val="00AC34FD"/>
    <w:rsid w:val="00AD7679"/>
    <w:rsid w:val="00AF0C3A"/>
    <w:rsid w:val="00B15FFD"/>
    <w:rsid w:val="00B16E74"/>
    <w:rsid w:val="00B53434"/>
    <w:rsid w:val="00B7134F"/>
    <w:rsid w:val="00B7240F"/>
    <w:rsid w:val="00B84529"/>
    <w:rsid w:val="00BC4928"/>
    <w:rsid w:val="00BD4327"/>
    <w:rsid w:val="00BE4B9B"/>
    <w:rsid w:val="00C05EAF"/>
    <w:rsid w:val="00C512D4"/>
    <w:rsid w:val="00C66493"/>
    <w:rsid w:val="00C73381"/>
    <w:rsid w:val="00C90F42"/>
    <w:rsid w:val="00CA6605"/>
    <w:rsid w:val="00CC3873"/>
    <w:rsid w:val="00CD5317"/>
    <w:rsid w:val="00D04C38"/>
    <w:rsid w:val="00D13662"/>
    <w:rsid w:val="00D21561"/>
    <w:rsid w:val="00D42B5B"/>
    <w:rsid w:val="00D42D3F"/>
    <w:rsid w:val="00D50CFA"/>
    <w:rsid w:val="00D853A5"/>
    <w:rsid w:val="00D85F5B"/>
    <w:rsid w:val="00D92A73"/>
    <w:rsid w:val="00DC0690"/>
    <w:rsid w:val="00DC43D6"/>
    <w:rsid w:val="00DD1A10"/>
    <w:rsid w:val="00DE1CED"/>
    <w:rsid w:val="00E361BA"/>
    <w:rsid w:val="00E71C4B"/>
    <w:rsid w:val="00E77835"/>
    <w:rsid w:val="00E940AB"/>
    <w:rsid w:val="00EE330A"/>
    <w:rsid w:val="00EE51B1"/>
    <w:rsid w:val="00EF554B"/>
    <w:rsid w:val="00EF60F6"/>
    <w:rsid w:val="00EF7A9A"/>
    <w:rsid w:val="00F22719"/>
    <w:rsid w:val="00F33E3D"/>
    <w:rsid w:val="00F5608D"/>
    <w:rsid w:val="00F84D04"/>
    <w:rsid w:val="00F87187"/>
    <w:rsid w:val="00FA2735"/>
    <w:rsid w:val="00FC28AA"/>
    <w:rsid w:val="00FD72AC"/>
    <w:rsid w:val="00FE262E"/>
    <w:rsid w:val="00FF5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8</cp:revision>
  <dcterms:created xsi:type="dcterms:W3CDTF">2025-09-12T15:28:00Z</dcterms:created>
  <dcterms:modified xsi:type="dcterms:W3CDTF">2025-09-18T11:50:00Z</dcterms:modified>
</cp:coreProperties>
</file>